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0D575" w14:textId="77777777" w:rsidR="00E03F59" w:rsidRDefault="00E03F59">
      <w:pPr>
        <w:jc w:val="center"/>
        <w:rPr>
          <w:rFonts w:cs="Times New Roman"/>
          <w:b/>
          <w:sz w:val="22"/>
          <w:szCs w:val="22"/>
        </w:rPr>
      </w:pPr>
    </w:p>
    <w:p w14:paraId="4B0F90C3" w14:textId="2FC921C2" w:rsidR="007A356C" w:rsidRPr="00E03F59" w:rsidRDefault="00E03F59">
      <w:pPr>
        <w:jc w:val="center"/>
        <w:rPr>
          <w:sz w:val="22"/>
          <w:szCs w:val="22"/>
        </w:rPr>
      </w:pPr>
      <w:r w:rsidRPr="00E03F59">
        <w:rPr>
          <w:rFonts w:cs="Times New Roman"/>
          <w:b/>
          <w:sz w:val="22"/>
          <w:szCs w:val="22"/>
        </w:rPr>
        <w:t>Comunicato</w:t>
      </w:r>
    </w:p>
    <w:p w14:paraId="4B0F90C4" w14:textId="77777777" w:rsidR="007A356C" w:rsidRPr="00E03F59" w:rsidRDefault="007A356C">
      <w:pPr>
        <w:jc w:val="right"/>
        <w:rPr>
          <w:rFonts w:cs="Times New Roman"/>
          <w:sz w:val="22"/>
          <w:szCs w:val="22"/>
        </w:rPr>
      </w:pPr>
    </w:p>
    <w:p w14:paraId="4B0F90C5" w14:textId="77777777" w:rsidR="007A356C" w:rsidRPr="00E03F59" w:rsidRDefault="00E03F59">
      <w:pPr>
        <w:jc w:val="both"/>
        <w:rPr>
          <w:sz w:val="22"/>
          <w:szCs w:val="22"/>
        </w:rPr>
      </w:pPr>
      <w:r w:rsidRPr="00E03F59">
        <w:rPr>
          <w:rFonts w:cs="Times New Roman"/>
          <w:b/>
          <w:sz w:val="22"/>
          <w:szCs w:val="22"/>
        </w:rPr>
        <w:t xml:space="preserve">Oggetto: </w:t>
      </w:r>
      <w:bookmarkStart w:id="0" w:name="__DdeLink__42_3099806374"/>
      <w:r w:rsidRPr="00E03F59">
        <w:rPr>
          <w:rFonts w:cs="Times New Roman"/>
          <w:b/>
          <w:sz w:val="22"/>
          <w:szCs w:val="22"/>
        </w:rPr>
        <w:t>r</w:t>
      </w:r>
      <w:bookmarkEnd w:id="0"/>
      <w:r w:rsidRPr="00E03F59">
        <w:rPr>
          <w:rFonts w:cs="Times New Roman"/>
          <w:b/>
          <w:sz w:val="22"/>
          <w:szCs w:val="22"/>
        </w:rPr>
        <w:t xml:space="preserve">iunione al Dipartimento della Giustizia Minorile e di Comunità </w:t>
      </w:r>
      <w:r w:rsidRPr="00E03F59">
        <w:rPr>
          <w:rFonts w:cs="Times New Roman"/>
          <w:b/>
          <w:sz w:val="22"/>
          <w:szCs w:val="22"/>
        </w:rPr>
        <w:t>sull’aumento dei carichi di lavoro dovuti all’utilizzo del sistema Calliope.</w:t>
      </w:r>
    </w:p>
    <w:p w14:paraId="4B0F90C6" w14:textId="77777777" w:rsidR="007A356C" w:rsidRPr="00E03F59" w:rsidRDefault="007A356C">
      <w:pPr>
        <w:jc w:val="both"/>
        <w:rPr>
          <w:sz w:val="22"/>
          <w:szCs w:val="22"/>
        </w:rPr>
      </w:pPr>
    </w:p>
    <w:p w14:paraId="4B0F90C7" w14:textId="77777777" w:rsidR="007A356C" w:rsidRPr="00E03F59" w:rsidRDefault="00E03F59">
      <w:pPr>
        <w:jc w:val="both"/>
        <w:rPr>
          <w:sz w:val="22"/>
          <w:szCs w:val="22"/>
        </w:rPr>
      </w:pPr>
      <w:r w:rsidRPr="00E03F59">
        <w:rPr>
          <w:sz w:val="22"/>
          <w:szCs w:val="22"/>
        </w:rPr>
        <w:t>Come chiesto da FP CGIL, CISL FP e UIL PA, in data odierna si è tenuta la riunione sull’aumento dei carichi di lavoro conseguente all’utilizzo del sistema Calliope.</w:t>
      </w:r>
    </w:p>
    <w:p w14:paraId="4B0F90C8" w14:textId="77777777" w:rsidR="007A356C" w:rsidRPr="00E03F59" w:rsidRDefault="007A356C">
      <w:pPr>
        <w:jc w:val="both"/>
        <w:rPr>
          <w:sz w:val="22"/>
          <w:szCs w:val="22"/>
        </w:rPr>
      </w:pPr>
    </w:p>
    <w:p w14:paraId="4B0F90C9" w14:textId="77777777" w:rsidR="007A356C" w:rsidRPr="00E03F59" w:rsidRDefault="00E03F59">
      <w:pPr>
        <w:jc w:val="both"/>
        <w:rPr>
          <w:sz w:val="22"/>
          <w:szCs w:val="22"/>
        </w:rPr>
      </w:pPr>
      <w:r w:rsidRPr="00E03F59">
        <w:rPr>
          <w:sz w:val="22"/>
          <w:szCs w:val="22"/>
        </w:rPr>
        <w:t xml:space="preserve">La riunione </w:t>
      </w:r>
      <w:r w:rsidRPr="00E03F59">
        <w:rPr>
          <w:sz w:val="22"/>
          <w:szCs w:val="22"/>
        </w:rPr>
        <w:t>è stata aperta dal dott. Giuseppe Cacciapuoti che ha immediatamente dato la sua disponibilità ad ascoltare le criticità che le organizzazioni sindacali avessero voluto rappresentare, dando subito la parola a quelle che avevano richiesto l’incontro.</w:t>
      </w:r>
    </w:p>
    <w:p w14:paraId="4B0F90CA" w14:textId="77777777" w:rsidR="007A356C" w:rsidRPr="00E03F59" w:rsidRDefault="007A356C">
      <w:pPr>
        <w:jc w:val="both"/>
        <w:rPr>
          <w:sz w:val="22"/>
          <w:szCs w:val="22"/>
        </w:rPr>
      </w:pPr>
    </w:p>
    <w:p w14:paraId="4B0F90CB" w14:textId="77777777" w:rsidR="007A356C" w:rsidRPr="00E03F59" w:rsidRDefault="00E03F59">
      <w:pPr>
        <w:jc w:val="both"/>
        <w:rPr>
          <w:sz w:val="22"/>
          <w:szCs w:val="22"/>
        </w:rPr>
      </w:pPr>
      <w:r w:rsidRPr="00E03F59">
        <w:rPr>
          <w:sz w:val="22"/>
          <w:szCs w:val="22"/>
        </w:rPr>
        <w:t>FP CGI</w:t>
      </w:r>
      <w:r w:rsidRPr="00E03F59">
        <w:rPr>
          <w:sz w:val="22"/>
          <w:szCs w:val="22"/>
        </w:rPr>
        <w:t>L, CISL FP e UIL PA, intervenute per prime, hanno elencato tutte le problematiche che i lavoratori ci hanno illustrato nel tempo, chiarendo da subito che l’utilizzo di Calliope ha rallentato il lavoro e ha causato un aumento dei carichi di lavoro che risch</w:t>
      </w:r>
      <w:r w:rsidRPr="00E03F59">
        <w:rPr>
          <w:sz w:val="22"/>
          <w:szCs w:val="22"/>
        </w:rPr>
        <w:t>ia di paralizzare il sistema.</w:t>
      </w:r>
    </w:p>
    <w:p w14:paraId="4B0F90CC" w14:textId="77777777" w:rsidR="007A356C" w:rsidRPr="00E03F59" w:rsidRDefault="007A356C">
      <w:pPr>
        <w:jc w:val="both"/>
        <w:rPr>
          <w:sz w:val="22"/>
          <w:szCs w:val="22"/>
        </w:rPr>
      </w:pPr>
    </w:p>
    <w:p w14:paraId="4B0F90CD" w14:textId="77777777" w:rsidR="007A356C" w:rsidRPr="00E03F59" w:rsidRDefault="00E03F59">
      <w:pPr>
        <w:jc w:val="both"/>
        <w:rPr>
          <w:sz w:val="22"/>
          <w:szCs w:val="22"/>
        </w:rPr>
      </w:pPr>
      <w:r w:rsidRPr="00E03F59">
        <w:rPr>
          <w:sz w:val="22"/>
          <w:szCs w:val="22"/>
        </w:rPr>
        <w:t>Calliope è stato applicato in un contesto già gravemente compromesso dalla carenza di personale e dall’aumento dei carichi di lavoro che si è registrato negli anni in maniera esponenziale, causando forte stress correlato al l</w:t>
      </w:r>
      <w:r w:rsidRPr="00E03F59">
        <w:rPr>
          <w:sz w:val="22"/>
          <w:szCs w:val="22"/>
        </w:rPr>
        <w:t>avoro su tutto il personale.</w:t>
      </w:r>
    </w:p>
    <w:p w14:paraId="4B0F90CE" w14:textId="77777777" w:rsidR="007A356C" w:rsidRPr="00E03F59" w:rsidRDefault="007A356C">
      <w:pPr>
        <w:jc w:val="both"/>
        <w:rPr>
          <w:sz w:val="22"/>
          <w:szCs w:val="22"/>
        </w:rPr>
      </w:pPr>
    </w:p>
    <w:p w14:paraId="4B0F90CF" w14:textId="77777777" w:rsidR="007A356C" w:rsidRPr="00E03F59" w:rsidRDefault="00E03F59">
      <w:pPr>
        <w:jc w:val="both"/>
        <w:rPr>
          <w:sz w:val="22"/>
          <w:szCs w:val="22"/>
        </w:rPr>
      </w:pPr>
      <w:r w:rsidRPr="00E03F59">
        <w:rPr>
          <w:sz w:val="22"/>
          <w:szCs w:val="22"/>
        </w:rPr>
        <w:t>Inoltre ha comportato una serie di modifiche sull'organizzazione del lavoro che spesso sono state decise unilateralmente dai dirigenti delle varie sedi decentrate e imposte  con fare autoritario, senza alcun confronto con le o</w:t>
      </w:r>
      <w:r w:rsidRPr="00E03F59">
        <w:rPr>
          <w:sz w:val="22"/>
          <w:szCs w:val="22"/>
        </w:rPr>
        <w:t>rganizzazioni sindacali.</w:t>
      </w:r>
    </w:p>
    <w:p w14:paraId="4B0F90D0" w14:textId="77777777" w:rsidR="007A356C" w:rsidRPr="00E03F59" w:rsidRDefault="007A356C">
      <w:pPr>
        <w:jc w:val="both"/>
        <w:rPr>
          <w:sz w:val="22"/>
          <w:szCs w:val="22"/>
        </w:rPr>
      </w:pPr>
    </w:p>
    <w:p w14:paraId="4B0F90D1" w14:textId="77777777" w:rsidR="007A356C" w:rsidRPr="00E03F59" w:rsidRDefault="00E03F59">
      <w:pPr>
        <w:jc w:val="both"/>
        <w:rPr>
          <w:sz w:val="22"/>
          <w:szCs w:val="22"/>
        </w:rPr>
      </w:pPr>
      <w:r w:rsidRPr="00E03F59">
        <w:rPr>
          <w:sz w:val="22"/>
          <w:szCs w:val="22"/>
        </w:rPr>
        <w:t xml:space="preserve">Questo tipo di scelta, unita al fatto che il sistema non è evoluto e adeguato al fine per </w:t>
      </w:r>
      <w:r w:rsidRPr="00E03F59">
        <w:rPr>
          <w:sz w:val="22"/>
          <w:szCs w:val="22"/>
        </w:rPr>
        <w:t>cui era stato pensato, alla grave carenza di personale, alla mancanza di strumentazione di supporto, sta portando a conseguenze catastrofiche non solo sulle condizioni psico fisiche del personale, ma anche sull'efficienza dei servizi.</w:t>
      </w:r>
    </w:p>
    <w:p w14:paraId="4B0F90D2" w14:textId="77777777" w:rsidR="007A356C" w:rsidRPr="00E03F59" w:rsidRDefault="007A356C">
      <w:pPr>
        <w:jc w:val="both"/>
        <w:rPr>
          <w:sz w:val="22"/>
          <w:szCs w:val="22"/>
        </w:rPr>
      </w:pPr>
    </w:p>
    <w:p w14:paraId="4B0F90D3" w14:textId="77777777" w:rsidR="007A356C" w:rsidRPr="00E03F59" w:rsidRDefault="00E03F59">
      <w:pPr>
        <w:jc w:val="both"/>
        <w:rPr>
          <w:rFonts w:cs="Times New Roman"/>
          <w:sz w:val="22"/>
          <w:szCs w:val="22"/>
        </w:rPr>
      </w:pPr>
      <w:r w:rsidRPr="00E03F59">
        <w:rPr>
          <w:sz w:val="22"/>
          <w:szCs w:val="22"/>
        </w:rPr>
        <w:t>Per questo abbiamo c</w:t>
      </w:r>
      <w:r w:rsidRPr="00E03F59">
        <w:rPr>
          <w:sz w:val="22"/>
          <w:szCs w:val="22"/>
        </w:rPr>
        <w:t>hiesto alla parte pubblica, oltre ad un maggiore impegno sulle assunzioni di personale, un impegno concreto per migliorare da subito le condizioni di lavoro di quello che da anni sta tenendo a galla il sistema tra mille difficoltà</w:t>
      </w:r>
      <w:r w:rsidRPr="00E03F59">
        <w:rPr>
          <w:rFonts w:cs="Times New Roman"/>
          <w:sz w:val="22"/>
          <w:szCs w:val="22"/>
        </w:rPr>
        <w:t>, evidenziando che tale mi</w:t>
      </w:r>
      <w:r w:rsidRPr="00E03F59">
        <w:rPr>
          <w:rFonts w:cs="Times New Roman"/>
          <w:sz w:val="22"/>
          <w:szCs w:val="22"/>
        </w:rPr>
        <w:t>glioramento non può prescindere dall'istituzione di un gruppo di lavoro che possa effettuare uno studio sui carichi di lavoro sostenibili e da un intervento dell'amministrazione centrale che imponga ai dirigenti delle sedi periferiche di convocare le organ</w:t>
      </w:r>
      <w:r w:rsidRPr="00E03F59">
        <w:rPr>
          <w:rFonts w:cs="Times New Roman"/>
          <w:sz w:val="22"/>
          <w:szCs w:val="22"/>
        </w:rPr>
        <w:t>izzazioni sindacali e discutere con loro la nuova organizzazione del lavoro conseguente all'avvento di Calliope.</w:t>
      </w:r>
    </w:p>
    <w:p w14:paraId="4B0F90D4" w14:textId="77777777" w:rsidR="007A356C" w:rsidRPr="00E03F59" w:rsidRDefault="007A356C">
      <w:pPr>
        <w:jc w:val="both"/>
        <w:rPr>
          <w:rFonts w:cs="Times New Roman"/>
          <w:sz w:val="22"/>
          <w:szCs w:val="22"/>
        </w:rPr>
      </w:pPr>
    </w:p>
    <w:p w14:paraId="4B0F90D5" w14:textId="77777777" w:rsidR="007A356C" w:rsidRPr="00E03F59" w:rsidRDefault="00E03F59">
      <w:pPr>
        <w:jc w:val="both"/>
        <w:rPr>
          <w:rFonts w:cs="Times New Roman"/>
          <w:sz w:val="22"/>
          <w:szCs w:val="22"/>
        </w:rPr>
      </w:pPr>
      <w:r w:rsidRPr="00E03F59">
        <w:rPr>
          <w:rFonts w:cs="Times New Roman"/>
          <w:sz w:val="22"/>
          <w:szCs w:val="22"/>
        </w:rPr>
        <w:t>La parte pubblica si è impegnata a inviare una nota ai dirigenti delle suddette sedi chiedendo di convocare i sindacati, a monitorare la situa</w:t>
      </w:r>
      <w:r w:rsidRPr="00E03F59">
        <w:rPr>
          <w:rFonts w:cs="Times New Roman"/>
          <w:sz w:val="22"/>
          <w:szCs w:val="22"/>
        </w:rPr>
        <w:t>zione, a rispondere alle sollecitazioni dei sindacati e a dare un fattivo contributo per risolvere le problematiche che emergeranno su tutto il territorio nazionale.</w:t>
      </w:r>
    </w:p>
    <w:p w14:paraId="4B0F90D6" w14:textId="77777777" w:rsidR="007A356C" w:rsidRPr="00E03F59" w:rsidRDefault="007A356C">
      <w:pPr>
        <w:jc w:val="both"/>
        <w:rPr>
          <w:rFonts w:cs="Times New Roman"/>
          <w:sz w:val="22"/>
          <w:szCs w:val="22"/>
        </w:rPr>
      </w:pPr>
    </w:p>
    <w:p w14:paraId="4B0F90D7" w14:textId="77777777" w:rsidR="007A356C" w:rsidRPr="00E03F59" w:rsidRDefault="00E03F59">
      <w:pPr>
        <w:jc w:val="both"/>
        <w:rPr>
          <w:sz w:val="22"/>
          <w:szCs w:val="22"/>
        </w:rPr>
      </w:pPr>
      <w:r w:rsidRPr="00E03F59">
        <w:rPr>
          <w:rFonts w:cs="Times New Roman"/>
          <w:sz w:val="22"/>
          <w:szCs w:val="22"/>
        </w:rPr>
        <w:t>Roma 22-06-2021</w:t>
      </w:r>
    </w:p>
    <w:p w14:paraId="4B0F90D8" w14:textId="77777777" w:rsidR="007A356C" w:rsidRDefault="007A356C">
      <w:pPr>
        <w:jc w:val="both"/>
        <w:rPr>
          <w:rFonts w:cs="Times New Roman"/>
        </w:rPr>
      </w:pPr>
    </w:p>
    <w:tbl>
      <w:tblPr>
        <w:tblW w:w="9638" w:type="dxa"/>
        <w:jc w:val="center"/>
        <w:tblLayout w:type="fixed"/>
        <w:tblLook w:val="04A0" w:firstRow="1" w:lastRow="0" w:firstColumn="1" w:lastColumn="0" w:noHBand="0" w:noVBand="1"/>
      </w:tblPr>
      <w:tblGrid>
        <w:gridCol w:w="3248"/>
        <w:gridCol w:w="3190"/>
        <w:gridCol w:w="3200"/>
      </w:tblGrid>
      <w:tr w:rsidR="007A356C" w14:paraId="4B0F90DD" w14:textId="77777777">
        <w:trPr>
          <w:jc w:val="center"/>
        </w:trPr>
        <w:tc>
          <w:tcPr>
            <w:tcW w:w="3248" w:type="dxa"/>
            <w:shd w:val="clear" w:color="auto" w:fill="auto"/>
          </w:tcPr>
          <w:p w14:paraId="4B0F90DA" w14:textId="77777777" w:rsidR="007A356C" w:rsidRDefault="00E03F59">
            <w:pPr>
              <w:jc w:val="center"/>
              <w:rPr>
                <w:rFonts w:cs="Times New Roman"/>
              </w:rPr>
            </w:pPr>
            <w:r>
              <w:rPr>
                <w:rFonts w:cs="Times New Roman"/>
              </w:rPr>
              <w:t>FP CGIL</w:t>
            </w:r>
          </w:p>
        </w:tc>
        <w:tc>
          <w:tcPr>
            <w:tcW w:w="3190" w:type="dxa"/>
            <w:shd w:val="clear" w:color="auto" w:fill="auto"/>
          </w:tcPr>
          <w:p w14:paraId="4B0F90DB" w14:textId="77777777" w:rsidR="007A356C" w:rsidRDefault="00E03F59">
            <w:pPr>
              <w:jc w:val="center"/>
              <w:rPr>
                <w:rFonts w:cs="Times New Roman"/>
              </w:rPr>
            </w:pPr>
            <w:r>
              <w:rPr>
                <w:rFonts w:cs="Times New Roman"/>
              </w:rPr>
              <w:t>CISL FP</w:t>
            </w:r>
          </w:p>
        </w:tc>
        <w:tc>
          <w:tcPr>
            <w:tcW w:w="3200" w:type="dxa"/>
            <w:shd w:val="clear" w:color="auto" w:fill="auto"/>
          </w:tcPr>
          <w:p w14:paraId="4B0F90DC" w14:textId="77777777" w:rsidR="007A356C" w:rsidRDefault="00E03F59">
            <w:pPr>
              <w:jc w:val="center"/>
              <w:rPr>
                <w:rFonts w:cs="Times New Roman"/>
              </w:rPr>
            </w:pPr>
            <w:r>
              <w:rPr>
                <w:rFonts w:cs="Times New Roman"/>
              </w:rPr>
              <w:t>UIL PA</w:t>
            </w:r>
          </w:p>
        </w:tc>
      </w:tr>
      <w:tr w:rsidR="007A356C" w14:paraId="4B0F90E1" w14:textId="77777777">
        <w:trPr>
          <w:jc w:val="center"/>
        </w:trPr>
        <w:tc>
          <w:tcPr>
            <w:tcW w:w="3248" w:type="dxa"/>
            <w:shd w:val="clear" w:color="auto" w:fill="auto"/>
          </w:tcPr>
          <w:p w14:paraId="4B0F90DE" w14:textId="77777777" w:rsidR="007A356C" w:rsidRDefault="00E03F59">
            <w:pPr>
              <w:jc w:val="center"/>
            </w:pPr>
            <w:r>
              <w:rPr>
                <w:rFonts w:cs="Times New Roman"/>
              </w:rPr>
              <w:t>Prestini</w:t>
            </w:r>
          </w:p>
        </w:tc>
        <w:tc>
          <w:tcPr>
            <w:tcW w:w="3190" w:type="dxa"/>
            <w:shd w:val="clear" w:color="auto" w:fill="auto"/>
          </w:tcPr>
          <w:p w14:paraId="4B0F90DF" w14:textId="77777777" w:rsidR="007A356C" w:rsidRDefault="00E03F59">
            <w:pPr>
              <w:jc w:val="center"/>
              <w:rPr>
                <w:rFonts w:cs="Times New Roman"/>
              </w:rPr>
            </w:pPr>
            <w:r>
              <w:rPr>
                <w:rFonts w:cs="Times New Roman"/>
              </w:rPr>
              <w:t>Marra</w:t>
            </w:r>
          </w:p>
        </w:tc>
        <w:tc>
          <w:tcPr>
            <w:tcW w:w="3200" w:type="dxa"/>
            <w:shd w:val="clear" w:color="auto" w:fill="auto"/>
          </w:tcPr>
          <w:p w14:paraId="4B0F90E0" w14:textId="77777777" w:rsidR="007A356C" w:rsidRDefault="00E03F59">
            <w:pPr>
              <w:jc w:val="center"/>
              <w:rPr>
                <w:rFonts w:cs="Times New Roman"/>
              </w:rPr>
            </w:pPr>
            <w:r>
              <w:rPr>
                <w:rFonts w:cs="Times New Roman"/>
              </w:rPr>
              <w:t>Amoroso</w:t>
            </w:r>
          </w:p>
        </w:tc>
      </w:tr>
    </w:tbl>
    <w:p w14:paraId="4B0F90E2" w14:textId="77777777" w:rsidR="007A356C" w:rsidRDefault="007A356C">
      <w:pPr>
        <w:jc w:val="both"/>
        <w:rPr>
          <w:rFonts w:cs="Times New Roman"/>
        </w:rPr>
      </w:pPr>
    </w:p>
    <w:p w14:paraId="4B0F90E3" w14:textId="77777777" w:rsidR="007A356C" w:rsidRDefault="007A356C">
      <w:pPr>
        <w:rPr>
          <w:rFonts w:cs="Times New Roman"/>
        </w:rPr>
      </w:pPr>
    </w:p>
    <w:p w14:paraId="4B0F90E4" w14:textId="77777777" w:rsidR="007A356C" w:rsidRDefault="007A356C"/>
    <w:sectPr w:rsidR="007A356C">
      <w:headerReference w:type="default" r:id="rId6"/>
      <w:pgSz w:w="10772" w:h="16838"/>
      <w:pgMar w:top="1417" w:right="1134" w:bottom="1134" w:left="1134" w:header="70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F90EF" w14:textId="77777777" w:rsidR="00000000" w:rsidRDefault="00E03F59">
      <w:r>
        <w:separator/>
      </w:r>
    </w:p>
  </w:endnote>
  <w:endnote w:type="continuationSeparator" w:id="0">
    <w:p w14:paraId="4B0F90F1" w14:textId="77777777" w:rsidR="00000000" w:rsidRDefault="00E03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iberation Serif;Times New Roma">
    <w:altName w:val="Times New Roman"/>
    <w:panose1 w:val="00000000000000000000"/>
    <w:charset w:val="00"/>
    <w:family w:val="roman"/>
    <w:notTrueType/>
    <w:pitch w:val="default"/>
  </w:font>
  <w:font w:name="Songti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F90EB" w14:textId="77777777" w:rsidR="00000000" w:rsidRDefault="00E03F59">
      <w:r>
        <w:separator/>
      </w:r>
    </w:p>
  </w:footnote>
  <w:footnote w:type="continuationSeparator" w:id="0">
    <w:p w14:paraId="4B0F90ED" w14:textId="77777777" w:rsidR="00000000" w:rsidRDefault="00E03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8" w:type="dxa"/>
      <w:jc w:val="center"/>
      <w:tblLayout w:type="fixed"/>
      <w:tblLook w:val="04A0" w:firstRow="1" w:lastRow="0" w:firstColumn="1" w:lastColumn="0" w:noHBand="0" w:noVBand="1"/>
    </w:tblPr>
    <w:tblGrid>
      <w:gridCol w:w="3178"/>
      <w:gridCol w:w="3226"/>
      <w:gridCol w:w="3234"/>
    </w:tblGrid>
    <w:tr w:rsidR="007A356C" w14:paraId="4B0F90E9" w14:textId="77777777">
      <w:trPr>
        <w:jc w:val="center"/>
      </w:trPr>
      <w:tc>
        <w:tcPr>
          <w:tcW w:w="3178" w:type="dxa"/>
          <w:shd w:val="clear" w:color="auto" w:fill="auto"/>
        </w:tcPr>
        <w:p w14:paraId="4B0F90E5" w14:textId="77777777" w:rsidR="007A356C" w:rsidRDefault="00E03F59">
          <w:pPr>
            <w:pStyle w:val="Intestazione"/>
            <w:jc w:val="center"/>
            <w:rPr>
              <w:lang w:eastAsia="it-IT" w:bidi="ar-SA"/>
            </w:rPr>
          </w:pPr>
          <w:r>
            <w:rPr>
              <w:noProof/>
              <w:sz w:val="20"/>
            </w:rPr>
            <w:drawing>
              <wp:anchor distT="0" distB="0" distL="0" distR="0" simplePos="0" relativeHeight="251624959" behindDoc="1" locked="0" layoutInCell="1" allowOverlap="1" wp14:anchorId="4B0F90EB" wp14:editId="4B0F90EC">
                <wp:simplePos x="0" y="0"/>
                <wp:positionH relativeFrom="column">
                  <wp:posOffset>317505</wp:posOffset>
                </wp:positionH>
                <wp:positionV relativeFrom="paragraph">
                  <wp:posOffset>140340</wp:posOffset>
                </wp:positionV>
                <wp:extent cx="845820" cy="845820"/>
                <wp:effectExtent l="0" t="0" r="0" b="0"/>
                <wp:wrapSquare wrapText="largest"/>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orage/emulated/0/.polaris_temp/image1.png"/>
                        <pic:cNvPicPr>
                          <a:picLocks noChangeAspect="1" noChangeArrowheads="1"/>
                        </pic:cNvPicPr>
                      </pic:nvPicPr>
                      <pic:blipFill>
                        <a:blip r:embed="rId1" cstate="print"/>
                        <a:srcRect l="-23" t="-23" r="-23" b="-23"/>
                        <a:stretch>
                          <a:fillRect/>
                        </a:stretch>
                      </pic:blipFill>
                      <pic:spPr>
                        <a:xfrm>
                          <a:off x="0" y="0"/>
                          <a:ext cx="846455" cy="846455"/>
                        </a:xfrm>
                        <a:prstGeom prst="rect">
                          <a:avLst/>
                        </a:prstGeom>
                        <a:ln cap="flat"/>
                      </pic:spPr>
                    </pic:pic>
                  </a:graphicData>
                </a:graphic>
              </wp:anchor>
            </w:drawing>
          </w:r>
        </w:p>
        <w:p w14:paraId="4B0F90E6" w14:textId="77777777" w:rsidR="007A356C" w:rsidRDefault="007A356C">
          <w:pPr>
            <w:pStyle w:val="Intestazione"/>
            <w:jc w:val="center"/>
            <w:rPr>
              <w:sz w:val="22"/>
              <w:szCs w:val="22"/>
            </w:rPr>
          </w:pPr>
        </w:p>
      </w:tc>
      <w:tc>
        <w:tcPr>
          <w:tcW w:w="3226" w:type="dxa"/>
          <w:shd w:val="clear" w:color="auto" w:fill="auto"/>
        </w:tcPr>
        <w:p w14:paraId="4B0F90E7" w14:textId="77777777" w:rsidR="007A356C" w:rsidRDefault="00E03F59">
          <w:pPr>
            <w:pStyle w:val="Intestazione"/>
            <w:jc w:val="center"/>
            <w:rPr>
              <w:sz w:val="22"/>
              <w:szCs w:val="22"/>
            </w:rPr>
          </w:pPr>
          <w:r>
            <w:rPr>
              <w:noProof/>
              <w:sz w:val="20"/>
            </w:rPr>
            <w:drawing>
              <wp:inline distT="0" distB="0" distL="0" distR="0" wp14:anchorId="4B0F90ED" wp14:editId="4B0F90EE">
                <wp:extent cx="1419225" cy="1045209"/>
                <wp:effectExtent l="0" t="0" r="0" b="0"/>
                <wp:docPr id="5"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orage/emulated/0/.polaris_temp/image2.jpeg"/>
                        <pic:cNvPicPr>
                          <a:picLocks noChangeAspect="1" noChangeArrowheads="1"/>
                        </pic:cNvPicPr>
                      </pic:nvPicPr>
                      <pic:blipFill>
                        <a:blip r:embed="rId2" cstate="print"/>
                        <a:stretch>
                          <a:fillRect/>
                        </a:stretch>
                      </pic:blipFill>
                      <pic:spPr>
                        <a:xfrm>
                          <a:off x="0" y="0"/>
                          <a:ext cx="1419860" cy="1045845"/>
                        </a:xfrm>
                        <a:prstGeom prst="rect">
                          <a:avLst/>
                        </a:prstGeom>
                        <a:ln cap="flat"/>
                      </pic:spPr>
                    </pic:pic>
                  </a:graphicData>
                </a:graphic>
              </wp:inline>
            </w:drawing>
          </w:r>
        </w:p>
      </w:tc>
      <w:tc>
        <w:tcPr>
          <w:tcW w:w="3234" w:type="dxa"/>
          <w:shd w:val="clear" w:color="auto" w:fill="auto"/>
        </w:tcPr>
        <w:p w14:paraId="4B0F90E8" w14:textId="77777777" w:rsidR="007A356C" w:rsidRDefault="00E03F59">
          <w:pPr>
            <w:pStyle w:val="Intestazione"/>
            <w:jc w:val="center"/>
            <w:rPr>
              <w:sz w:val="22"/>
              <w:szCs w:val="22"/>
            </w:rPr>
          </w:pPr>
          <w:r>
            <w:rPr>
              <w:noProof/>
              <w:sz w:val="20"/>
            </w:rPr>
            <w:drawing>
              <wp:inline distT="0" distB="0" distL="0" distR="0" wp14:anchorId="4B0F90EF" wp14:editId="4B0F90F0">
                <wp:extent cx="1502410" cy="1110615"/>
                <wp:effectExtent l="0" t="0" r="0" b="0"/>
                <wp:docPr id="6" name="Immagine 6" descr="264-uilpa-nuovo-logo_mini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orage/emulated/0/.polaris_temp/image3.jpeg"/>
                        <pic:cNvPicPr>
                          <a:picLocks noChangeAspect="1" noChangeArrowheads="1"/>
                        </pic:cNvPicPr>
                      </pic:nvPicPr>
                      <pic:blipFill>
                        <a:blip r:embed="rId3" cstate="print"/>
                        <a:stretch>
                          <a:fillRect/>
                        </a:stretch>
                      </pic:blipFill>
                      <pic:spPr>
                        <a:xfrm>
                          <a:off x="0" y="0"/>
                          <a:ext cx="1503045" cy="1111250"/>
                        </a:xfrm>
                        <a:prstGeom prst="rect">
                          <a:avLst/>
                        </a:prstGeom>
                        <a:ln cap="flat"/>
                      </pic:spPr>
                    </pic:pic>
                  </a:graphicData>
                </a:graphic>
              </wp:inline>
            </w:drawing>
          </w:r>
        </w:p>
      </w:tc>
    </w:tr>
  </w:tbl>
  <w:p w14:paraId="4B0F90EA" w14:textId="77777777" w:rsidR="007A356C" w:rsidRDefault="007A356C">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bordersDoNotSurroundFooter/>
  <w:proofState w:spelling="clean" w:grammar="clean"/>
  <w:defaultTabStop w:val="709"/>
  <w:hyphenationZone w:val="283"/>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56C"/>
    <w:rsid w:val="007A356C"/>
    <w:rsid w:val="00E03F59"/>
  </w:rsids>
  <m:mathPr>
    <m:mathFont m:val="Cambria Math"/>
    <m:brkBin m:val="before"/>
    <m:brkBinSub m:val="--"/>
    <m:smallFrac/>
    <m:dispDef/>
    <m:lMargin m:val="1440"/>
    <m:rMargin m:val="144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14:docId w14:val="4B0F90C1"/>
  <w15:docId w15:val="{363B7E2F-8D23-443A-B338-3C07ADA16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overflowPunct w:val="0"/>
    </w:pPr>
    <w:rPr>
      <w:rFonts w:ascii="Times New Roman" w:eastAsia="SimSun" w:hAnsi="Times New Roman" w:cs="Mangal"/>
      <w:sz w:val="24"/>
      <w:szCs w:val="24"/>
      <w:lang w:eastAsia="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0"/>
    <w:qFormat/>
    <w:rPr>
      <w:b/>
    </w:rPr>
  </w:style>
  <w:style w:type="table" w:styleId="Grigliatabella">
    <w:name w:val="Table Grid"/>
    <w:basedOn w:val="Tabellanormale"/>
    <w:uiPriority w:val="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ugenioCarattere">
    <w:name w:val="eugenio Carattere"/>
    <w:qFormat/>
    <w:rPr>
      <w:rFonts w:ascii="Arial" w:eastAsia="Calibri" w:hAnsi="Arial" w:cs="Arial"/>
    </w:rPr>
  </w:style>
  <w:style w:type="character" w:customStyle="1" w:styleId="IntestazioneCarattere">
    <w:name w:val="Intestazione Carattere"/>
    <w:link w:val="Intestazione"/>
    <w:qFormat/>
    <w:rPr>
      <w:rFonts w:ascii="Arial" w:hAnsi="Arial"/>
    </w:rPr>
  </w:style>
  <w:style w:type="character" w:customStyle="1" w:styleId="PidipaginaCarattere">
    <w:name w:val="Piè di pagina Carattere"/>
    <w:link w:val="Pidipagina"/>
    <w:qFormat/>
    <w:rPr>
      <w:rFonts w:ascii="Arial" w:hAnsi="Arial"/>
    </w:rPr>
  </w:style>
  <w:style w:type="character" w:customStyle="1" w:styleId="TestofumettoCarattere">
    <w:name w:val="Testo fumetto Carattere"/>
    <w:link w:val="Testofumetto"/>
    <w:semiHidden/>
    <w:qFormat/>
    <w:rPr>
      <w:rFonts w:ascii="Tahoma" w:hAnsi="Tahoma" w:cs="Tahoma"/>
      <w:sz w:val="16"/>
      <w:szCs w:val="16"/>
    </w:rPr>
  </w:style>
  <w:style w:type="paragraph" w:styleId="Titolo">
    <w:name w:val="Title"/>
    <w:basedOn w:val="Normale"/>
    <w:uiPriority w:val="10"/>
    <w:qFormat/>
    <w:pPr>
      <w:spacing w:before="240" w:after="120"/>
    </w:pPr>
    <w:rPr>
      <w:rFonts w:ascii="Liberation Sans" w:eastAsia="Microsoft YaHei" w:hAnsi="Liberation Sans" w:cs="Arial"/>
      <w:sz w:val="28"/>
      <w:szCs w:val="28"/>
    </w:rPr>
  </w:style>
  <w:style w:type="paragraph" w:styleId="Corpotesto">
    <w:name w:val="Body Text"/>
    <w:basedOn w:val="Normale"/>
    <w:pPr>
      <w:spacing w:after="140" w:line="275"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rPr>
  </w:style>
  <w:style w:type="paragraph" w:customStyle="1" w:styleId="Indice">
    <w:name w:val="Indice"/>
    <w:basedOn w:val="Normale"/>
    <w:qFormat/>
    <w:pPr>
      <w:suppressLineNumbers/>
    </w:pPr>
    <w:rPr>
      <w:rFonts w:cs="Arial"/>
    </w:rPr>
  </w:style>
  <w:style w:type="paragraph" w:customStyle="1" w:styleId="eugenio">
    <w:name w:val="eugenio"/>
    <w:basedOn w:val="Normale"/>
    <w:qFormat/>
    <w:pPr>
      <w:jc w:val="both"/>
    </w:pPr>
    <w:rPr>
      <w:rFonts w:eastAsia="Calibri" w:cs="Arial"/>
    </w:rPr>
  </w:style>
  <w:style w:type="paragraph" w:customStyle="1" w:styleId="Intestazioneepidipagina">
    <w:name w:val="Intestazione e piè di pagina"/>
    <w:basedOn w:val="Normale"/>
    <w:qFormat/>
  </w:style>
  <w:style w:type="paragraph" w:styleId="Intestazione">
    <w:name w:val="header"/>
    <w:basedOn w:val="Normale"/>
    <w:link w:val="IntestazioneCarattere"/>
    <w:unhideWhenUsed/>
    <w:pPr>
      <w:tabs>
        <w:tab w:val="center" w:pos="4819"/>
        <w:tab w:val="right" w:pos="9638"/>
      </w:tabs>
    </w:pPr>
  </w:style>
  <w:style w:type="paragraph" w:styleId="Pidipagina">
    <w:name w:val="footer"/>
    <w:basedOn w:val="Normale"/>
    <w:link w:val="PidipaginaCarattere"/>
    <w:unhideWhenUsed/>
    <w:pPr>
      <w:tabs>
        <w:tab w:val="center" w:pos="4819"/>
        <w:tab w:val="right" w:pos="9638"/>
      </w:tabs>
    </w:pPr>
  </w:style>
  <w:style w:type="paragraph" w:styleId="Testofumetto">
    <w:name w:val="Balloon Text"/>
    <w:basedOn w:val="Normale"/>
    <w:link w:val="TestofumettoCarattere"/>
    <w:semiHidden/>
    <w:unhideWhenUsed/>
    <w:qFormat/>
    <w:rPr>
      <w:rFonts w:ascii="Tahoma" w:hAnsi="Tahoma" w:cs="Tahoma"/>
      <w:sz w:val="16"/>
      <w:szCs w:val="16"/>
    </w:rPr>
  </w:style>
  <w:style w:type="paragraph" w:customStyle="1" w:styleId="Intestazione1">
    <w:name w:val="Intestazione1"/>
    <w:basedOn w:val="Normale"/>
    <w:qFormat/>
    <w:pPr>
      <w:suppressLineNumbers/>
      <w:tabs>
        <w:tab w:val="center" w:pos="4819"/>
        <w:tab w:val="right" w:pos="9638"/>
      </w:tabs>
    </w:pPr>
    <w:rPr>
      <w:rFonts w:ascii="Liberation Serif;Times New Roma" w:eastAsia="Songti SC" w:hAnsi="Liberation Serif;Times New Roma" w:cs="Arial Unicode MS"/>
      <w:lang w:eastAsia="zh-CN"/>
    </w:rPr>
  </w:style>
  <w:style w:type="paragraph" w:customStyle="1" w:styleId="Testopreformattato">
    <w:name w:val="Testo preformattato"/>
    <w:basedOn w:val="Normale"/>
    <w:qFormat/>
    <w:rPr>
      <w:rFonts w:ascii="Courier New" w:eastAsia="Times New Roman"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2329</Characters>
  <Application>Microsoft Office Word</Application>
  <DocSecurity>0</DocSecurity>
  <Lines>19</Lines>
  <Paragraphs>5</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Eugenio Marra</dc:creator>
  <cp:lastModifiedBy>Eugenio Marra</cp:lastModifiedBy>
  <cp:revision>4</cp:revision>
  <dcterms:created xsi:type="dcterms:W3CDTF">2021-06-22T19:07:00Z</dcterms:created>
  <dcterms:modified xsi:type="dcterms:W3CDTF">2021-06-22T19:08:00Z</dcterms:modified>
</cp:coreProperties>
</file>